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支持民营企业参与的特许经营新建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（含改扩建）项目清单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（2023年版）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一、应由民营企业独资或控股的项目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（一）环保领域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1.垃圾固废处理和垃圾焚烧发电项目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（二）市政领域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2.园区基础设施项目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3.公共停车场项目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（三）物流领域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4.物流枢纽、物流园区项目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（四）农业林业领域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5.农业废弃物资源化利用项目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6.旅游农业、休闲农业基础设施项目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7.林业生态项目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（五）社会领域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8.体育项目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9.旅游公共服务项目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二、民营企业股权占比原则上不低于35%的项目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（一）环保领域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10.污水处理项目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11.污水管网项目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（二）市政领域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12.城镇供水、供气、供热项目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（三）交通运输领域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13.城际铁路、资源开发性铁路和支线铁路，铁路客货运输商业类、延伸类业务项目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14.收费公路项目（不含投资规模大、建设难度高的收费公路项目）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15.低运量轨道交通项目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（四）物流领域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16.机场货运处理设施项目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17.国家物流枢纽、国家骨干冷链物流基地项目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（五）水利领域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18.具有发电功能的小型水利项目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（六）新型基础设施领域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19.智慧城市、智慧交通、智慧农业、智慧能源项目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20.数据中心项目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21.人工智能算力基础设施项目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22.民用空间基础设施项目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三、积极创造条件、支持民营企业参与的项目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（一）交通运输领域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23.列入中长期铁路网规划、国家批准的专项规划和区域规划的铁路项目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24.投资规模大、建设难度高的收费公路等项目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25.城市地铁、轻轨和市域（郊）铁路项目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26.民用运输机场项目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（二）能源领域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27.农村电网改造升级项目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28.油气管网主干线或支线项目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29.石油、天然气储备设施项目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（三）水利领域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3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30.具有发电功能的大中型水利项目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TZiZWRkODQ5NjM4OTFiY2E5NjZiODQwYTk5OTkifQ=="/>
  </w:docVars>
  <w:rsids>
    <w:rsidRoot w:val="5FC66A50"/>
    <w:rsid w:val="5FC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2023-11-17T01:27:00Z</dcterms:created>
  <dc:creator>山东国际-王老师</dc:creator>
  <cp:lastModifiedBy>山东国际-王老师</cp:lastModifiedBy>
  <dcterms:modified xsi:type="dcterms:W3CDTF">2023-11-17T01:28:39Z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676BD60FF7E04CFFBAFCBE84BAAD01BC_11</vt:lpwstr>
  </property>
</Properties>
</file>